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89" w:rsidRDefault="00CE1489" w:rsidP="00CF33D9">
      <w:pPr>
        <w:ind w:firstLine="708"/>
      </w:pPr>
      <w:r>
        <w:rPr>
          <w:bCs/>
        </w:rPr>
        <w:t>Na temelju članka 56. Zakona o koncesijama („Narodne</w:t>
      </w:r>
      <w:r w:rsidR="00332656">
        <w:rPr>
          <w:bCs/>
        </w:rPr>
        <w:t xml:space="preserve"> novine, broj 143/12) i članka 3</w:t>
      </w:r>
      <w:r w:rsidR="00F26172">
        <w:rPr>
          <w:bCs/>
        </w:rPr>
        <w:t>2</w:t>
      </w:r>
      <w:r>
        <w:rPr>
          <w:bCs/>
        </w:rPr>
        <w:t xml:space="preserve">. Statuta </w:t>
      </w:r>
      <w:r w:rsidR="00DA7C5D">
        <w:rPr>
          <w:bCs/>
        </w:rPr>
        <w:t>Općine Garčin</w:t>
      </w:r>
      <w:r>
        <w:rPr>
          <w:bCs/>
        </w:rPr>
        <w:t xml:space="preserve"> („Službeni </w:t>
      </w:r>
      <w:r w:rsidR="00DA7C5D">
        <w:rPr>
          <w:bCs/>
        </w:rPr>
        <w:t>vjesnik Brodsko-posavske županije</w:t>
      </w:r>
      <w:r>
        <w:rPr>
          <w:bCs/>
        </w:rPr>
        <w:t xml:space="preserve">“, broj </w:t>
      </w:r>
      <w:r w:rsidR="00DA7C5D">
        <w:rPr>
          <w:bCs/>
        </w:rPr>
        <w:t>9</w:t>
      </w:r>
      <w:r>
        <w:rPr>
          <w:bCs/>
        </w:rPr>
        <w:t xml:space="preserve">/09 i </w:t>
      </w:r>
      <w:r w:rsidR="00DA7C5D">
        <w:rPr>
          <w:bCs/>
        </w:rPr>
        <w:t>5</w:t>
      </w:r>
      <w:r>
        <w:rPr>
          <w:bCs/>
        </w:rPr>
        <w:t>/1</w:t>
      </w:r>
      <w:r w:rsidR="00DA7C5D">
        <w:rPr>
          <w:bCs/>
        </w:rPr>
        <w:t>3</w:t>
      </w:r>
      <w:r>
        <w:rPr>
          <w:bCs/>
        </w:rPr>
        <w:t xml:space="preserve">) </w:t>
      </w:r>
      <w:r w:rsidR="00DA7C5D">
        <w:rPr>
          <w:bCs/>
        </w:rPr>
        <w:t>Općinsk</w:t>
      </w:r>
      <w:r w:rsidR="00F26172">
        <w:rPr>
          <w:bCs/>
        </w:rPr>
        <w:t xml:space="preserve">o vijeće općine </w:t>
      </w:r>
      <w:r w:rsidR="00DA7C5D">
        <w:rPr>
          <w:bCs/>
        </w:rPr>
        <w:t>Garčin</w:t>
      </w:r>
      <w:r>
        <w:rPr>
          <w:bCs/>
        </w:rPr>
        <w:t xml:space="preserve"> </w:t>
      </w:r>
      <w:r w:rsidR="00F26172">
        <w:rPr>
          <w:bCs/>
        </w:rPr>
        <w:t xml:space="preserve">na svojoj 19. sjednici održanoj </w:t>
      </w:r>
      <w:r w:rsidR="00253760">
        <w:rPr>
          <w:bCs/>
        </w:rPr>
        <w:t>14</w:t>
      </w:r>
      <w:r w:rsidR="00F26172">
        <w:rPr>
          <w:bCs/>
        </w:rPr>
        <w:t xml:space="preserve">. prosinca 2015. </w:t>
      </w:r>
      <w:r>
        <w:rPr>
          <w:bCs/>
        </w:rPr>
        <w:t>donosi</w:t>
      </w:r>
    </w:p>
    <w:p w:rsidR="00CF33D9" w:rsidRDefault="00CF33D9" w:rsidP="00CF33D9"/>
    <w:p w:rsidR="00CF33D9" w:rsidRPr="00CF33D9" w:rsidRDefault="00CF33D9" w:rsidP="00CF33D9"/>
    <w:p w:rsidR="00CE1489" w:rsidRPr="0015398F" w:rsidRDefault="00A25A61" w:rsidP="00CE1489">
      <w:pPr>
        <w:jc w:val="center"/>
        <w:rPr>
          <w:b/>
          <w:bCs/>
        </w:rPr>
      </w:pPr>
      <w:r>
        <w:rPr>
          <w:b/>
          <w:bCs/>
        </w:rPr>
        <w:t>GODIŠNJI</w:t>
      </w:r>
      <w:r w:rsidR="00CE1489">
        <w:rPr>
          <w:b/>
          <w:bCs/>
        </w:rPr>
        <w:t xml:space="preserve"> </w:t>
      </w:r>
      <w:r w:rsidR="00CE1489" w:rsidRPr="0015398F">
        <w:rPr>
          <w:b/>
          <w:bCs/>
        </w:rPr>
        <w:t>PLAN DAVANJA KONCESIJA</w:t>
      </w:r>
    </w:p>
    <w:p w:rsidR="00CE1489" w:rsidRPr="001A2A71" w:rsidRDefault="00CE1489" w:rsidP="00CE1489">
      <w:pPr>
        <w:jc w:val="center"/>
        <w:rPr>
          <w:bCs/>
        </w:rPr>
      </w:pPr>
      <w:r w:rsidRPr="001A2A71">
        <w:rPr>
          <w:bCs/>
        </w:rPr>
        <w:t>iz područja komunalnih djelatnosti za 201</w:t>
      </w:r>
      <w:r w:rsidR="00F26172">
        <w:rPr>
          <w:bCs/>
        </w:rPr>
        <w:t>6</w:t>
      </w:r>
      <w:r w:rsidRPr="001A2A71">
        <w:rPr>
          <w:bCs/>
        </w:rPr>
        <w:t xml:space="preserve">. </w:t>
      </w:r>
      <w:r w:rsidR="00CF33D9">
        <w:rPr>
          <w:bCs/>
        </w:rPr>
        <w:t>g</w:t>
      </w:r>
      <w:r w:rsidRPr="001A2A71">
        <w:rPr>
          <w:bCs/>
        </w:rPr>
        <w:t>odin</w:t>
      </w:r>
      <w:r w:rsidR="00CF33D9">
        <w:rPr>
          <w:bCs/>
        </w:rPr>
        <w:t>u</w:t>
      </w:r>
    </w:p>
    <w:p w:rsidR="00CE1489" w:rsidRDefault="00CE1489" w:rsidP="00CE1489">
      <w:pPr>
        <w:jc w:val="both"/>
        <w:rPr>
          <w:bCs/>
        </w:rPr>
      </w:pPr>
    </w:p>
    <w:p w:rsidR="00CF33D9" w:rsidRDefault="00CF33D9" w:rsidP="00CE1489">
      <w:pPr>
        <w:jc w:val="both"/>
        <w:rPr>
          <w:bCs/>
        </w:rPr>
      </w:pPr>
    </w:p>
    <w:p w:rsidR="009D150C" w:rsidRDefault="009D150C" w:rsidP="00CE1489">
      <w:pPr>
        <w:jc w:val="both"/>
        <w:rPr>
          <w:bCs/>
        </w:rPr>
      </w:pPr>
    </w:p>
    <w:p w:rsidR="00CE1489" w:rsidRPr="001A2A71" w:rsidRDefault="00CE1489" w:rsidP="00CE1489">
      <w:pPr>
        <w:jc w:val="center"/>
        <w:rPr>
          <w:bCs/>
        </w:rPr>
      </w:pPr>
      <w:r w:rsidRPr="001A2A71">
        <w:rPr>
          <w:bCs/>
        </w:rPr>
        <w:t>I</w:t>
      </w:r>
      <w:r w:rsidR="00227AFE" w:rsidRPr="001A2A71">
        <w:rPr>
          <w:bCs/>
        </w:rPr>
        <w:t>.</w:t>
      </w:r>
    </w:p>
    <w:p w:rsidR="00CE1489" w:rsidRDefault="00CE1489" w:rsidP="00CE1489">
      <w:pPr>
        <w:jc w:val="both"/>
        <w:rPr>
          <w:bCs/>
        </w:rPr>
      </w:pPr>
    </w:p>
    <w:p w:rsidR="00CE1489" w:rsidRDefault="00CE1489" w:rsidP="00CF33D9">
      <w:pPr>
        <w:ind w:firstLine="708"/>
        <w:jc w:val="both"/>
        <w:rPr>
          <w:bCs/>
        </w:rPr>
      </w:pPr>
      <w:r>
        <w:rPr>
          <w:bCs/>
        </w:rPr>
        <w:t xml:space="preserve">Utvrđuje se </w:t>
      </w:r>
      <w:r w:rsidR="00CF33D9">
        <w:rPr>
          <w:bCs/>
        </w:rPr>
        <w:t>G</w:t>
      </w:r>
      <w:r>
        <w:rPr>
          <w:bCs/>
        </w:rPr>
        <w:t>odišnji</w:t>
      </w:r>
      <w:r w:rsidR="001A2A71">
        <w:rPr>
          <w:bCs/>
        </w:rPr>
        <w:t xml:space="preserve"> p</w:t>
      </w:r>
      <w:r>
        <w:rPr>
          <w:bCs/>
        </w:rPr>
        <w:t>lan davanja koncesija iz područja komunalnih djelatnosti za 201</w:t>
      </w:r>
      <w:r w:rsidR="00F26172">
        <w:rPr>
          <w:bCs/>
        </w:rPr>
        <w:t>6</w:t>
      </w:r>
      <w:r>
        <w:rPr>
          <w:bCs/>
        </w:rPr>
        <w:t>. godin</w:t>
      </w:r>
      <w:r w:rsidR="001A2A71">
        <w:rPr>
          <w:bCs/>
        </w:rPr>
        <w:t>u</w:t>
      </w:r>
      <w:r w:rsidR="0006047C">
        <w:rPr>
          <w:bCs/>
        </w:rPr>
        <w:t xml:space="preserve"> </w:t>
      </w:r>
      <w:r>
        <w:rPr>
          <w:bCs/>
        </w:rPr>
        <w:t xml:space="preserve">(dalje: Plan koncesija) na području </w:t>
      </w:r>
      <w:r w:rsidR="00DA7C5D">
        <w:rPr>
          <w:bCs/>
        </w:rPr>
        <w:t>Općine Garčin</w:t>
      </w:r>
      <w:r w:rsidR="00332656">
        <w:rPr>
          <w:bCs/>
        </w:rPr>
        <w:t xml:space="preserve"> koji sadrži vrstu koncesija, broj koncesija, rok na koji se pojedine koncesije planiraju dati, planiran</w:t>
      </w:r>
      <w:r w:rsidR="001A2A71">
        <w:rPr>
          <w:bCs/>
        </w:rPr>
        <w:t>u</w:t>
      </w:r>
      <w:r w:rsidR="00332656">
        <w:rPr>
          <w:bCs/>
        </w:rPr>
        <w:t xml:space="preserve"> godišnj</w:t>
      </w:r>
      <w:r w:rsidR="001A2A71">
        <w:rPr>
          <w:bCs/>
        </w:rPr>
        <w:t>u</w:t>
      </w:r>
      <w:r w:rsidR="00332656">
        <w:rPr>
          <w:bCs/>
        </w:rPr>
        <w:t xml:space="preserve"> naknada za pojedinu koncesiju, te pravn</w:t>
      </w:r>
      <w:r w:rsidR="001A2A71">
        <w:rPr>
          <w:bCs/>
        </w:rPr>
        <w:t>u</w:t>
      </w:r>
      <w:r w:rsidR="00332656">
        <w:rPr>
          <w:bCs/>
        </w:rPr>
        <w:t xml:space="preserve"> osnov</w:t>
      </w:r>
      <w:r w:rsidR="001A2A71">
        <w:rPr>
          <w:bCs/>
        </w:rPr>
        <w:t>u</w:t>
      </w:r>
      <w:r w:rsidR="00332656">
        <w:rPr>
          <w:bCs/>
        </w:rPr>
        <w:t xml:space="preserve"> za davanje koncesije</w:t>
      </w:r>
      <w:r>
        <w:rPr>
          <w:bCs/>
        </w:rPr>
        <w:t>.</w:t>
      </w:r>
    </w:p>
    <w:p w:rsidR="00A14E65" w:rsidRDefault="00A14E65" w:rsidP="00CE1489">
      <w:pPr>
        <w:jc w:val="both"/>
        <w:rPr>
          <w:bCs/>
        </w:rPr>
      </w:pPr>
    </w:p>
    <w:p w:rsidR="00A14E65" w:rsidRPr="001A2A71" w:rsidRDefault="00A14E65" w:rsidP="00A14E65">
      <w:pPr>
        <w:jc w:val="center"/>
        <w:rPr>
          <w:bCs/>
        </w:rPr>
      </w:pPr>
      <w:r w:rsidRPr="001A2A71">
        <w:rPr>
          <w:bCs/>
        </w:rPr>
        <w:t>II.</w:t>
      </w:r>
    </w:p>
    <w:p w:rsidR="00CE1489" w:rsidRDefault="00CE1489" w:rsidP="00CE1489">
      <w:pPr>
        <w:jc w:val="both"/>
        <w:rPr>
          <w:bCs/>
        </w:rPr>
      </w:pPr>
    </w:p>
    <w:p w:rsidR="00CE1489" w:rsidRDefault="00CE1489" w:rsidP="00CF33D9">
      <w:pPr>
        <w:ind w:firstLine="360"/>
        <w:jc w:val="both"/>
        <w:rPr>
          <w:bCs/>
        </w:rPr>
      </w:pPr>
      <w:r>
        <w:rPr>
          <w:bCs/>
        </w:rPr>
        <w:t>U skladu s</w:t>
      </w:r>
      <w:r w:rsidR="00CF33D9">
        <w:rPr>
          <w:bCs/>
        </w:rPr>
        <w:t xml:space="preserve"> utvrđenim ustrojem komunalnog gospodarstva i važećim ugovorima o obavljanju komunalnih djelatnosti na temelju ugovora o koncesiji utvrđuje se Plan koncesija kako slijedi: </w:t>
      </w:r>
    </w:p>
    <w:p w:rsidR="00CF33D9" w:rsidRDefault="00CF33D9" w:rsidP="00CE1489">
      <w:pPr>
        <w:jc w:val="both"/>
        <w:rPr>
          <w:bCs/>
        </w:rPr>
      </w:pPr>
    </w:p>
    <w:p w:rsidR="00CE1489" w:rsidRDefault="00A14E65" w:rsidP="00CE148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DIMNJAČARSKI POSLOVI</w:t>
      </w:r>
    </w:p>
    <w:p w:rsidR="00A14E65" w:rsidRDefault="00DA7C5D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p</w:t>
      </w:r>
      <w:r w:rsidR="00A14E65">
        <w:rPr>
          <w:bCs/>
        </w:rPr>
        <w:t>lanirani broj koncesija</w:t>
      </w:r>
      <w:r w:rsidR="00DF07C0">
        <w:rPr>
          <w:bCs/>
        </w:rPr>
        <w:t xml:space="preserve">: </w:t>
      </w:r>
      <w:r>
        <w:rPr>
          <w:bCs/>
        </w:rPr>
        <w:t>1</w:t>
      </w:r>
    </w:p>
    <w:p w:rsidR="00A14E65" w:rsidRDefault="00DA7C5D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r</w:t>
      </w:r>
      <w:r w:rsidR="00A14E65">
        <w:rPr>
          <w:bCs/>
        </w:rPr>
        <w:t>ok davanja koncesije</w:t>
      </w:r>
      <w:r w:rsidR="00DF07C0">
        <w:rPr>
          <w:bCs/>
        </w:rPr>
        <w:t>: 4 godine</w:t>
      </w:r>
    </w:p>
    <w:p w:rsidR="00A14E65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p</w:t>
      </w:r>
      <w:r w:rsidR="00FA7240">
        <w:rPr>
          <w:bCs/>
        </w:rPr>
        <w:t>laniran</w:t>
      </w:r>
      <w:r w:rsidR="00AA7222">
        <w:rPr>
          <w:bCs/>
        </w:rPr>
        <w:t>a</w:t>
      </w:r>
      <w:r w:rsidR="00A14E65">
        <w:rPr>
          <w:bCs/>
        </w:rPr>
        <w:t xml:space="preserve"> godišnja naknada za koncesiju</w:t>
      </w:r>
      <w:r w:rsidR="00DF07C0">
        <w:rPr>
          <w:bCs/>
        </w:rPr>
        <w:t xml:space="preserve">: </w:t>
      </w:r>
      <w:r w:rsidR="00DA7C5D">
        <w:rPr>
          <w:bCs/>
        </w:rPr>
        <w:t>2</w:t>
      </w:r>
      <w:r w:rsidR="00DF07C0">
        <w:rPr>
          <w:bCs/>
        </w:rPr>
        <w:t>.000,00 kuna</w:t>
      </w:r>
    </w:p>
    <w:p w:rsidR="00DF07C0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g</w:t>
      </w:r>
      <w:r w:rsidR="0006047C">
        <w:rPr>
          <w:bCs/>
        </w:rPr>
        <w:t>odina davanja koncesija:  201</w:t>
      </w:r>
      <w:r w:rsidR="00F26172">
        <w:rPr>
          <w:bCs/>
        </w:rPr>
        <w:t>6</w:t>
      </w:r>
      <w:r w:rsidR="009D150C">
        <w:rPr>
          <w:bCs/>
        </w:rPr>
        <w:t>.</w:t>
      </w:r>
      <w:r w:rsidR="0006047C">
        <w:rPr>
          <w:bCs/>
        </w:rPr>
        <w:t xml:space="preserve"> </w:t>
      </w:r>
    </w:p>
    <w:p w:rsidR="0006047C" w:rsidRDefault="0006047C" w:rsidP="0006047C">
      <w:pPr>
        <w:ind w:left="360"/>
        <w:jc w:val="both"/>
        <w:rPr>
          <w:bCs/>
        </w:rPr>
      </w:pPr>
    </w:p>
    <w:p w:rsidR="00A14E65" w:rsidRDefault="00814062" w:rsidP="00CE148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POSLOVI </w:t>
      </w:r>
      <w:r w:rsidR="001210A7">
        <w:rPr>
          <w:bCs/>
        </w:rPr>
        <w:t>P</w:t>
      </w:r>
      <w:r w:rsidR="00DA7C5D">
        <w:rPr>
          <w:bCs/>
        </w:rPr>
        <w:t>RIJEVOZ</w:t>
      </w:r>
      <w:r>
        <w:rPr>
          <w:bCs/>
        </w:rPr>
        <w:t>A</w:t>
      </w:r>
      <w:r w:rsidR="00DA7C5D">
        <w:rPr>
          <w:bCs/>
        </w:rPr>
        <w:t xml:space="preserve"> POKOJNIKA</w:t>
      </w:r>
      <w:r>
        <w:rPr>
          <w:bCs/>
        </w:rPr>
        <w:t xml:space="preserve"> </w:t>
      </w:r>
    </w:p>
    <w:p w:rsidR="00DF07C0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p</w:t>
      </w:r>
      <w:r w:rsidR="00DF07C0">
        <w:rPr>
          <w:bCs/>
        </w:rPr>
        <w:t xml:space="preserve">lanirani broj koncesija: </w:t>
      </w:r>
      <w:r w:rsidR="00DA7C5D">
        <w:rPr>
          <w:bCs/>
        </w:rPr>
        <w:t>1</w:t>
      </w:r>
    </w:p>
    <w:p w:rsidR="00DF07C0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r</w:t>
      </w:r>
      <w:r w:rsidR="00DF07C0">
        <w:rPr>
          <w:bCs/>
        </w:rPr>
        <w:t>ok davanja koncesije: 4 godine</w:t>
      </w:r>
    </w:p>
    <w:p w:rsidR="00DF07C0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p</w:t>
      </w:r>
      <w:r w:rsidR="00FA7240">
        <w:rPr>
          <w:bCs/>
        </w:rPr>
        <w:t>lanirana</w:t>
      </w:r>
      <w:r w:rsidR="00DF07C0">
        <w:rPr>
          <w:bCs/>
        </w:rPr>
        <w:t xml:space="preserve"> godišnja naknada za koncesiju: </w:t>
      </w:r>
      <w:r w:rsidR="00D6677D">
        <w:rPr>
          <w:bCs/>
        </w:rPr>
        <w:t>2</w:t>
      </w:r>
      <w:r w:rsidR="00DF07C0">
        <w:rPr>
          <w:bCs/>
        </w:rPr>
        <w:t>.000,00 kuna</w:t>
      </w:r>
    </w:p>
    <w:p w:rsidR="009D150C" w:rsidRPr="009D150C" w:rsidRDefault="00227AFE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g</w:t>
      </w:r>
      <w:r w:rsidR="0006047C">
        <w:rPr>
          <w:bCs/>
        </w:rPr>
        <w:t>odina davanja koncesije: 201</w:t>
      </w:r>
      <w:r w:rsidR="00F26172">
        <w:rPr>
          <w:bCs/>
        </w:rPr>
        <w:t>6</w:t>
      </w:r>
      <w:r w:rsidR="0006047C">
        <w:rPr>
          <w:bCs/>
        </w:rPr>
        <w:t xml:space="preserve">. </w:t>
      </w:r>
    </w:p>
    <w:p w:rsidR="0088516F" w:rsidRDefault="00CF33D9" w:rsidP="00227AFE">
      <w:pPr>
        <w:rPr>
          <w:bCs/>
        </w:rPr>
      </w:pPr>
      <w:r>
        <w:rPr>
          <w:bCs/>
        </w:rPr>
        <w:t xml:space="preserve"> </w:t>
      </w:r>
    </w:p>
    <w:p w:rsidR="009D150C" w:rsidRDefault="009D150C" w:rsidP="009D150C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POSLOVI SKUPLJANJA I ODVOZA KOMUNALNOG OTPADA </w:t>
      </w:r>
    </w:p>
    <w:p w:rsidR="009D150C" w:rsidRDefault="009D150C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planirani broj koncesija: 1</w:t>
      </w:r>
    </w:p>
    <w:p w:rsidR="009D150C" w:rsidRDefault="009D150C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rok davanja koncesije: 10 godine</w:t>
      </w:r>
    </w:p>
    <w:p w:rsidR="009D150C" w:rsidRDefault="009D150C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 xml:space="preserve">planirana godišnja naknada za koncesiju: </w:t>
      </w:r>
      <w:r w:rsidR="009308AE">
        <w:rPr>
          <w:bCs/>
        </w:rPr>
        <w:t>5</w:t>
      </w:r>
      <w:r>
        <w:rPr>
          <w:bCs/>
        </w:rPr>
        <w:t>0.000,00 kn</w:t>
      </w:r>
    </w:p>
    <w:p w:rsidR="009D150C" w:rsidRPr="009D150C" w:rsidRDefault="009D150C" w:rsidP="009D150C">
      <w:pPr>
        <w:numPr>
          <w:ilvl w:val="0"/>
          <w:numId w:val="6"/>
        </w:numPr>
        <w:ind w:left="1208" w:hanging="357"/>
        <w:jc w:val="both"/>
        <w:rPr>
          <w:bCs/>
        </w:rPr>
      </w:pPr>
      <w:r>
        <w:rPr>
          <w:bCs/>
        </w:rPr>
        <w:t>godina davanja koncesije: 201</w:t>
      </w:r>
      <w:r w:rsidR="00F26172">
        <w:rPr>
          <w:bCs/>
        </w:rPr>
        <w:t>6</w:t>
      </w:r>
      <w:r>
        <w:rPr>
          <w:bCs/>
        </w:rPr>
        <w:t xml:space="preserve">. </w:t>
      </w:r>
    </w:p>
    <w:p w:rsidR="009D150C" w:rsidRDefault="009D150C" w:rsidP="00CE1489">
      <w:pPr>
        <w:jc w:val="center"/>
        <w:rPr>
          <w:bCs/>
        </w:rPr>
      </w:pPr>
    </w:p>
    <w:p w:rsidR="00CE1489" w:rsidRPr="001A2A71" w:rsidRDefault="00CE1489" w:rsidP="00CE1489">
      <w:pPr>
        <w:jc w:val="center"/>
        <w:rPr>
          <w:bCs/>
        </w:rPr>
      </w:pPr>
      <w:r w:rsidRPr="001A2A71">
        <w:rPr>
          <w:bCs/>
        </w:rPr>
        <w:t>II</w:t>
      </w:r>
      <w:r w:rsidR="00FA7240" w:rsidRPr="001A2A71">
        <w:rPr>
          <w:bCs/>
        </w:rPr>
        <w:t>I.</w:t>
      </w:r>
    </w:p>
    <w:p w:rsidR="00CE1489" w:rsidRDefault="00CE1489" w:rsidP="00CE1489">
      <w:pPr>
        <w:jc w:val="both"/>
        <w:rPr>
          <w:bCs/>
        </w:rPr>
      </w:pPr>
    </w:p>
    <w:p w:rsidR="00FA7240" w:rsidRDefault="00FA7240" w:rsidP="00CF33D9">
      <w:pPr>
        <w:ind w:firstLine="708"/>
        <w:jc w:val="both"/>
      </w:pPr>
      <w:r>
        <w:t>Pravna osnova za davanje koncesija u smislu ovog Plana koncesija sadržana je u članku 11. Zakona o komunalnom gospodarstvu</w:t>
      </w:r>
      <w:r w:rsidR="00521049">
        <w:t xml:space="preserve"> („Narodne novine“, broj </w:t>
      </w:r>
      <w:r w:rsidR="0034052B">
        <w:t>36/95, 70/97, 128/99, 57/00, 129/00, 59/01, 26/03-pročiš</w:t>
      </w:r>
      <w:r w:rsidR="00521049">
        <w:t>ćeni tekst, 82/04, 178/04, 38/09, 79/09, 153/09, 49/11</w:t>
      </w:r>
      <w:r w:rsidR="00E85AFA">
        <w:t>,</w:t>
      </w:r>
      <w:r w:rsidR="00521049">
        <w:t xml:space="preserve"> 144/12</w:t>
      </w:r>
      <w:r w:rsidR="00E85AFA">
        <w:t>, 94/13, 153/13 i 147/14</w:t>
      </w:r>
      <w:r w:rsidR="00521049">
        <w:t>)</w:t>
      </w:r>
      <w:r w:rsidR="00227AFE">
        <w:t>,</w:t>
      </w:r>
      <w:r w:rsidR="00521049">
        <w:t xml:space="preserve"> članku 5. Zakona o koncesijama („N</w:t>
      </w:r>
      <w:r w:rsidR="0034052B">
        <w:t>arodne novine“, broj 143/12)</w:t>
      </w:r>
      <w:r w:rsidR="00227AFE">
        <w:t xml:space="preserve"> </w:t>
      </w:r>
      <w:r w:rsidR="0034052B">
        <w:t xml:space="preserve">i Odluci </w:t>
      </w:r>
      <w:r w:rsidR="0034052B">
        <w:rPr>
          <w:bCs/>
        </w:rPr>
        <w:t xml:space="preserve">o </w:t>
      </w:r>
      <w:r w:rsidR="00227AFE">
        <w:rPr>
          <w:bCs/>
        </w:rPr>
        <w:t xml:space="preserve">komunalnim </w:t>
      </w:r>
      <w:r w:rsidR="0034052B">
        <w:rPr>
          <w:bCs/>
        </w:rPr>
        <w:t>djelatnost</w:t>
      </w:r>
      <w:r w:rsidR="00227AFE">
        <w:rPr>
          <w:bCs/>
        </w:rPr>
        <w:t>ima</w:t>
      </w:r>
      <w:r w:rsidR="0034052B">
        <w:rPr>
          <w:bCs/>
        </w:rPr>
        <w:t xml:space="preserve"> koje se obavljaju na temelju ugovora o koncesiji („Službeni </w:t>
      </w:r>
      <w:r w:rsidR="00227AFE">
        <w:rPr>
          <w:bCs/>
        </w:rPr>
        <w:t>vjesnik Brodsko-posavske županije</w:t>
      </w:r>
      <w:r w:rsidR="0034052B">
        <w:rPr>
          <w:bCs/>
        </w:rPr>
        <w:t xml:space="preserve">“, broj </w:t>
      </w:r>
      <w:r w:rsidR="008A15F1">
        <w:rPr>
          <w:bCs/>
        </w:rPr>
        <w:t>7</w:t>
      </w:r>
      <w:r w:rsidR="0034052B">
        <w:rPr>
          <w:bCs/>
        </w:rPr>
        <w:t>/1</w:t>
      </w:r>
      <w:r w:rsidR="00227AFE">
        <w:rPr>
          <w:bCs/>
        </w:rPr>
        <w:t>4</w:t>
      </w:r>
      <w:r w:rsidR="0034052B">
        <w:rPr>
          <w:bCs/>
        </w:rPr>
        <w:t>).</w:t>
      </w:r>
    </w:p>
    <w:p w:rsidR="00332656" w:rsidRDefault="00332656" w:rsidP="00227AFE">
      <w:pPr>
        <w:rPr>
          <w:b/>
          <w:bCs/>
        </w:rPr>
      </w:pPr>
    </w:p>
    <w:p w:rsidR="0034052B" w:rsidRPr="001A2A71" w:rsidRDefault="0034052B" w:rsidP="0034052B">
      <w:pPr>
        <w:jc w:val="center"/>
        <w:rPr>
          <w:bCs/>
        </w:rPr>
      </w:pPr>
      <w:r w:rsidRPr="001A2A71">
        <w:rPr>
          <w:bCs/>
        </w:rPr>
        <w:lastRenderedPageBreak/>
        <w:t>IV.</w:t>
      </w:r>
    </w:p>
    <w:p w:rsidR="00FA7240" w:rsidRDefault="00FA7240" w:rsidP="00CE1489">
      <w:pPr>
        <w:jc w:val="both"/>
        <w:rPr>
          <w:bCs/>
        </w:rPr>
      </w:pPr>
    </w:p>
    <w:p w:rsidR="006E18AD" w:rsidRDefault="00CE1489" w:rsidP="009D150C">
      <w:pPr>
        <w:ind w:firstLine="708"/>
        <w:jc w:val="both"/>
        <w:rPr>
          <w:bCs/>
        </w:rPr>
      </w:pPr>
      <w:r>
        <w:rPr>
          <w:bCs/>
        </w:rPr>
        <w:t xml:space="preserve">Ovaj </w:t>
      </w:r>
      <w:r w:rsidR="00CF33D9">
        <w:rPr>
          <w:bCs/>
        </w:rPr>
        <w:t>Plan koncesija</w:t>
      </w:r>
      <w:r>
        <w:rPr>
          <w:bCs/>
        </w:rPr>
        <w:t xml:space="preserve"> dostavlja se Ministarstvu financij</w:t>
      </w:r>
      <w:r w:rsidR="00227AFE">
        <w:rPr>
          <w:bCs/>
        </w:rPr>
        <w:t>a</w:t>
      </w:r>
      <w:r>
        <w:rPr>
          <w:bCs/>
        </w:rPr>
        <w:t>.</w:t>
      </w:r>
    </w:p>
    <w:p w:rsidR="006E18AD" w:rsidRDefault="006E18AD" w:rsidP="0034052B">
      <w:pPr>
        <w:jc w:val="center"/>
        <w:rPr>
          <w:bCs/>
        </w:rPr>
      </w:pPr>
    </w:p>
    <w:p w:rsidR="00CE1489" w:rsidRDefault="0034052B" w:rsidP="0034052B">
      <w:pPr>
        <w:jc w:val="center"/>
        <w:rPr>
          <w:bCs/>
        </w:rPr>
      </w:pPr>
      <w:r w:rsidRPr="001A2A71">
        <w:rPr>
          <w:bCs/>
        </w:rPr>
        <w:t>V.</w:t>
      </w:r>
    </w:p>
    <w:p w:rsidR="006E18AD" w:rsidRPr="001A2A71" w:rsidRDefault="006E18AD" w:rsidP="0034052B">
      <w:pPr>
        <w:jc w:val="center"/>
        <w:rPr>
          <w:bCs/>
        </w:rPr>
      </w:pPr>
    </w:p>
    <w:p w:rsidR="0034052B" w:rsidRDefault="00CE1489" w:rsidP="006E18AD">
      <w:pPr>
        <w:ind w:firstLine="708"/>
        <w:jc w:val="both"/>
        <w:rPr>
          <w:bCs/>
        </w:rPr>
      </w:pPr>
      <w:r>
        <w:rPr>
          <w:bCs/>
        </w:rPr>
        <w:t xml:space="preserve">Ovaj </w:t>
      </w:r>
      <w:r w:rsidR="006E18AD">
        <w:rPr>
          <w:bCs/>
        </w:rPr>
        <w:t>Plan koncesija</w:t>
      </w:r>
      <w:r>
        <w:rPr>
          <w:bCs/>
        </w:rPr>
        <w:t xml:space="preserve"> </w:t>
      </w:r>
      <w:r w:rsidR="00FA7240">
        <w:rPr>
          <w:bCs/>
        </w:rPr>
        <w:t xml:space="preserve">stupa na snagu </w:t>
      </w:r>
      <w:r w:rsidR="00F26172">
        <w:rPr>
          <w:bCs/>
        </w:rPr>
        <w:t xml:space="preserve">osmog dana od </w:t>
      </w:r>
      <w:r w:rsidR="00FA7240">
        <w:rPr>
          <w:bCs/>
        </w:rPr>
        <w:t>dan</w:t>
      </w:r>
      <w:r w:rsidR="00F26172">
        <w:rPr>
          <w:bCs/>
        </w:rPr>
        <w:t xml:space="preserve">a objave </w:t>
      </w:r>
      <w:r>
        <w:rPr>
          <w:bCs/>
        </w:rPr>
        <w:t xml:space="preserve">u „Službenom </w:t>
      </w:r>
      <w:r w:rsidR="00227AFE">
        <w:rPr>
          <w:bCs/>
        </w:rPr>
        <w:t>vjesniku Brodsko-posavske županije</w:t>
      </w:r>
      <w:r w:rsidR="00CF33D9">
        <w:rPr>
          <w:bCs/>
        </w:rPr>
        <w:t>“.</w:t>
      </w:r>
    </w:p>
    <w:p w:rsidR="00CF33D9" w:rsidRDefault="00CF33D9" w:rsidP="00CE1489">
      <w:pPr>
        <w:jc w:val="both"/>
        <w:rPr>
          <w:bCs/>
        </w:rPr>
      </w:pPr>
    </w:p>
    <w:p w:rsidR="006E18AD" w:rsidRDefault="006E18AD" w:rsidP="00CE1489">
      <w:pPr>
        <w:jc w:val="both"/>
        <w:rPr>
          <w:bCs/>
        </w:rPr>
      </w:pPr>
    </w:p>
    <w:p w:rsidR="006E18AD" w:rsidRDefault="006E18AD" w:rsidP="00CE1489">
      <w:pPr>
        <w:jc w:val="both"/>
        <w:rPr>
          <w:bCs/>
        </w:rPr>
      </w:pPr>
    </w:p>
    <w:p w:rsidR="006E18AD" w:rsidRDefault="006E18AD" w:rsidP="00CE1489">
      <w:pPr>
        <w:jc w:val="both"/>
        <w:rPr>
          <w:bCs/>
        </w:rPr>
      </w:pPr>
    </w:p>
    <w:p w:rsidR="00CE1489" w:rsidRDefault="00F26172" w:rsidP="00CE1489">
      <w:pPr>
        <w:jc w:val="both"/>
        <w:rPr>
          <w:bCs/>
        </w:rPr>
      </w:pPr>
      <w:r>
        <w:rPr>
          <w:bCs/>
        </w:rPr>
        <w:t>KLASA</w:t>
      </w:r>
      <w:r w:rsidR="0034052B">
        <w:rPr>
          <w:bCs/>
        </w:rPr>
        <w:t>:</w:t>
      </w:r>
      <w:r w:rsidR="006E18AD">
        <w:rPr>
          <w:bCs/>
        </w:rPr>
        <w:t xml:space="preserve"> 02</w:t>
      </w:r>
      <w:r>
        <w:rPr>
          <w:bCs/>
        </w:rPr>
        <w:t>1</w:t>
      </w:r>
      <w:r w:rsidR="006E18AD">
        <w:rPr>
          <w:bCs/>
        </w:rPr>
        <w:t>-0</w:t>
      </w:r>
      <w:r>
        <w:rPr>
          <w:bCs/>
        </w:rPr>
        <w:t>1</w:t>
      </w:r>
      <w:r w:rsidR="006E18AD">
        <w:rPr>
          <w:bCs/>
        </w:rPr>
        <w:t>/1</w:t>
      </w:r>
      <w:r w:rsidR="00794A1F">
        <w:rPr>
          <w:bCs/>
        </w:rPr>
        <w:t>5</w:t>
      </w:r>
      <w:r w:rsidR="006E18AD">
        <w:rPr>
          <w:bCs/>
        </w:rPr>
        <w:t>-01/</w:t>
      </w:r>
      <w:r w:rsidR="00253760">
        <w:rPr>
          <w:bCs/>
        </w:rPr>
        <w:t>148</w:t>
      </w:r>
      <w:bookmarkStart w:id="0" w:name="_GoBack"/>
      <w:bookmarkEnd w:id="0"/>
      <w:r>
        <w:rPr>
          <w:bCs/>
        </w:rPr>
        <w:t xml:space="preserve"> </w:t>
      </w:r>
    </w:p>
    <w:p w:rsidR="00CE1489" w:rsidRDefault="00F26172" w:rsidP="00CE1489">
      <w:pPr>
        <w:jc w:val="both"/>
        <w:rPr>
          <w:bCs/>
        </w:rPr>
      </w:pPr>
      <w:r>
        <w:rPr>
          <w:bCs/>
        </w:rPr>
        <w:t>URBROJ</w:t>
      </w:r>
      <w:r w:rsidR="0034052B">
        <w:rPr>
          <w:bCs/>
        </w:rPr>
        <w:t>:</w:t>
      </w:r>
      <w:r w:rsidR="00794A1F">
        <w:rPr>
          <w:bCs/>
        </w:rPr>
        <w:t xml:space="preserve"> 2178/06-0</w:t>
      </w:r>
      <w:r>
        <w:rPr>
          <w:bCs/>
        </w:rPr>
        <w:t>1</w:t>
      </w:r>
      <w:r w:rsidR="006E18AD">
        <w:rPr>
          <w:bCs/>
        </w:rPr>
        <w:t>-1</w:t>
      </w:r>
      <w:r w:rsidR="00794A1F">
        <w:rPr>
          <w:bCs/>
        </w:rPr>
        <w:t>5</w:t>
      </w:r>
      <w:r w:rsidR="006E18AD">
        <w:rPr>
          <w:bCs/>
        </w:rPr>
        <w:t>-01</w:t>
      </w:r>
    </w:p>
    <w:p w:rsidR="00CE1489" w:rsidRDefault="00625020" w:rsidP="006E18AD">
      <w:pPr>
        <w:jc w:val="both"/>
        <w:rPr>
          <w:bCs/>
        </w:rPr>
      </w:pPr>
      <w:r>
        <w:rPr>
          <w:bCs/>
        </w:rPr>
        <w:t>Garčin</w:t>
      </w:r>
      <w:r w:rsidR="00CE1489">
        <w:rPr>
          <w:bCs/>
        </w:rPr>
        <w:t>,</w:t>
      </w:r>
      <w:r w:rsidR="006E18AD">
        <w:rPr>
          <w:bCs/>
        </w:rPr>
        <w:t xml:space="preserve"> </w:t>
      </w:r>
      <w:r w:rsidR="00F26172">
        <w:rPr>
          <w:bCs/>
        </w:rPr>
        <w:t>14</w:t>
      </w:r>
      <w:r w:rsidR="006E18AD">
        <w:rPr>
          <w:bCs/>
        </w:rPr>
        <w:t xml:space="preserve">. </w:t>
      </w:r>
      <w:r w:rsidR="00F26172">
        <w:rPr>
          <w:bCs/>
        </w:rPr>
        <w:t>prosinca</w:t>
      </w:r>
      <w:r w:rsidR="006E18AD">
        <w:rPr>
          <w:bCs/>
        </w:rPr>
        <w:t xml:space="preserve"> 201</w:t>
      </w:r>
      <w:r w:rsidR="00794A1F">
        <w:rPr>
          <w:bCs/>
        </w:rPr>
        <w:t>5</w:t>
      </w:r>
      <w:r w:rsidR="006E18AD">
        <w:rPr>
          <w:bCs/>
        </w:rPr>
        <w:t>.</w:t>
      </w:r>
    </w:p>
    <w:p w:rsidR="00CE1489" w:rsidRDefault="00CE1489" w:rsidP="00CE148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E1489" w:rsidRDefault="00F43593" w:rsidP="00CE148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Predsjednik Općinskog vijeća</w:t>
      </w:r>
    </w:p>
    <w:p w:rsidR="00F43593" w:rsidRPr="00227AFE" w:rsidRDefault="00F43593" w:rsidP="00CE148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Mato Jerković</w:t>
      </w:r>
    </w:p>
    <w:p w:rsidR="00CE1489" w:rsidRDefault="00CE1489" w:rsidP="00CE1489">
      <w:pPr>
        <w:jc w:val="center"/>
        <w:rPr>
          <w:b/>
          <w:bCs/>
        </w:rPr>
      </w:pPr>
    </w:p>
    <w:p w:rsidR="00CE1489" w:rsidRDefault="00CE1489" w:rsidP="00CE1489">
      <w:pPr>
        <w:jc w:val="center"/>
        <w:rPr>
          <w:b/>
          <w:bCs/>
        </w:rPr>
      </w:pPr>
    </w:p>
    <w:p w:rsidR="007A2977" w:rsidRPr="0034052B" w:rsidRDefault="007A2977" w:rsidP="00814062">
      <w:pPr>
        <w:rPr>
          <w:bCs/>
        </w:rPr>
      </w:pPr>
    </w:p>
    <w:p w:rsidR="00CE1489" w:rsidRDefault="00CE1489" w:rsidP="00CE1489">
      <w:pPr>
        <w:jc w:val="center"/>
        <w:rPr>
          <w:b/>
          <w:bCs/>
        </w:rPr>
      </w:pPr>
    </w:p>
    <w:p w:rsidR="00F43593" w:rsidRPr="0034052B" w:rsidRDefault="00F43593" w:rsidP="00F43593">
      <w:pPr>
        <w:rPr>
          <w:bCs/>
        </w:rPr>
      </w:pPr>
      <w:r w:rsidRPr="0034052B">
        <w:rPr>
          <w:bCs/>
        </w:rPr>
        <w:t>Dostaviti:</w:t>
      </w:r>
    </w:p>
    <w:p w:rsidR="00F43593" w:rsidRDefault="00F43593" w:rsidP="00F43593">
      <w:pPr>
        <w:numPr>
          <w:ilvl w:val="0"/>
          <w:numId w:val="7"/>
        </w:numPr>
        <w:rPr>
          <w:bCs/>
        </w:rPr>
      </w:pPr>
      <w:r>
        <w:rPr>
          <w:bCs/>
        </w:rPr>
        <w:t>Ministarstvu financija, Registar koncesija, Katančićeva 5, Zagreb</w:t>
      </w:r>
    </w:p>
    <w:p w:rsidR="00F43593" w:rsidRDefault="00F43593" w:rsidP="00F43593">
      <w:pPr>
        <w:numPr>
          <w:ilvl w:val="0"/>
          <w:numId w:val="7"/>
        </w:numPr>
        <w:rPr>
          <w:bCs/>
        </w:rPr>
      </w:pPr>
      <w:r>
        <w:rPr>
          <w:bCs/>
        </w:rPr>
        <w:t>Upravnom odjelu za komunalno gospodarstvo BPŽ</w:t>
      </w:r>
    </w:p>
    <w:p w:rsidR="00F43593" w:rsidRDefault="00F43593" w:rsidP="00F43593">
      <w:pPr>
        <w:numPr>
          <w:ilvl w:val="0"/>
          <w:numId w:val="7"/>
        </w:numPr>
        <w:rPr>
          <w:bCs/>
        </w:rPr>
      </w:pPr>
      <w:r>
        <w:rPr>
          <w:bCs/>
        </w:rPr>
        <w:t>Uredništvu „Službenog vjesnika Brodsko-posavske županije“</w:t>
      </w:r>
    </w:p>
    <w:p w:rsidR="00F43593" w:rsidRPr="0034052B" w:rsidRDefault="00F43593" w:rsidP="00F43593">
      <w:pPr>
        <w:numPr>
          <w:ilvl w:val="0"/>
          <w:numId w:val="7"/>
        </w:numPr>
        <w:rPr>
          <w:bCs/>
        </w:rPr>
      </w:pPr>
      <w:r>
        <w:rPr>
          <w:bCs/>
        </w:rPr>
        <w:t>Pismohrana, ovdje</w:t>
      </w:r>
    </w:p>
    <w:p w:rsidR="00CE1489" w:rsidRPr="00227AFE" w:rsidRDefault="00CE1489" w:rsidP="00227AFE">
      <w:pPr>
        <w:jc w:val="both"/>
        <w:rPr>
          <w:bCs/>
        </w:rPr>
      </w:pPr>
    </w:p>
    <w:p w:rsidR="00CE1489" w:rsidRDefault="00CE1489" w:rsidP="0006047C"/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CE1489" w:rsidRDefault="00CE1489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Default="005B62C2" w:rsidP="00CE1489">
      <w:pPr>
        <w:ind w:right="3770"/>
      </w:pPr>
    </w:p>
    <w:p w:rsidR="005B62C2" w:rsidRPr="00520D77" w:rsidRDefault="005B62C2" w:rsidP="005B62C2">
      <w:pPr>
        <w:jc w:val="center"/>
        <w:rPr>
          <w:b/>
          <w:bCs/>
        </w:rPr>
      </w:pPr>
      <w:r w:rsidRPr="00520D77">
        <w:rPr>
          <w:b/>
          <w:bCs/>
        </w:rPr>
        <w:t>O B R A Z L O Ž E N J E</w:t>
      </w:r>
    </w:p>
    <w:p w:rsidR="005B62C2" w:rsidRDefault="005B62C2" w:rsidP="005B62C2">
      <w:pPr>
        <w:jc w:val="both"/>
        <w:rPr>
          <w:bCs/>
        </w:rPr>
      </w:pPr>
    </w:p>
    <w:p w:rsidR="005B62C2" w:rsidRDefault="005B62C2" w:rsidP="00EE72EC">
      <w:pPr>
        <w:spacing w:line="360" w:lineRule="auto"/>
        <w:jc w:val="both"/>
        <w:rPr>
          <w:bCs/>
        </w:rPr>
      </w:pPr>
      <w:r>
        <w:rPr>
          <w:bCs/>
        </w:rPr>
        <w:tab/>
        <w:t>Zakonom o koncesijama („Narodne novine“, broj 143/12), propisana je obveza izrade trogodišnjih i godišnjih planova davanja koncesija, a koji se dostavljaju ministarstvu nadležnom za financije.</w:t>
      </w:r>
    </w:p>
    <w:p w:rsidR="00A312CF" w:rsidRDefault="005B62C2" w:rsidP="00EE72EC">
      <w:pPr>
        <w:spacing w:line="360" w:lineRule="auto"/>
        <w:jc w:val="both"/>
        <w:rPr>
          <w:bCs/>
        </w:rPr>
      </w:pPr>
      <w:r>
        <w:rPr>
          <w:bCs/>
        </w:rPr>
        <w:tab/>
        <w:t>Općina Garčin je donijela Srednjoročni plan davanja koncesija za razdoblje 2014. – 2016.</w:t>
      </w:r>
      <w:r w:rsidR="00A312CF">
        <w:rPr>
          <w:bCs/>
        </w:rPr>
        <w:t xml:space="preserve"> godine, te u skladu s istim donosi i Godišnji plan davanja koncesija.</w:t>
      </w:r>
    </w:p>
    <w:p w:rsidR="00A312CF" w:rsidRDefault="00A312CF" w:rsidP="00EE72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Općina je u dva navrata provodila postupke za dodjelu koncesije za obavljanje dimnjačarskih poslova. Na jedan natječaj nije s nitko javio, a na drugi se javila firma </w:t>
      </w:r>
      <w:proofErr w:type="spellStart"/>
      <w:r>
        <w:rPr>
          <w:bCs/>
        </w:rPr>
        <w:t>Dimko</w:t>
      </w:r>
      <w:proofErr w:type="spellEnd"/>
      <w:r>
        <w:rPr>
          <w:bCs/>
        </w:rPr>
        <w:t xml:space="preserve"> Gas d. o. o. koja je ubrzo prestala s radom, tako da općina već duže vrijeme nema koncesionara za obavljanje dimnjačarskih poslova.</w:t>
      </w:r>
    </w:p>
    <w:p w:rsidR="00A312CF" w:rsidRDefault="00A312CF" w:rsidP="00EE72EC">
      <w:pPr>
        <w:spacing w:line="360" w:lineRule="auto"/>
        <w:jc w:val="both"/>
        <w:rPr>
          <w:bCs/>
        </w:rPr>
      </w:pPr>
      <w:r>
        <w:rPr>
          <w:bCs/>
        </w:rPr>
        <w:tab/>
        <w:t>Tijekom svibnja 2015. godine istekla je koncesija za odvod i skupljanje komunalnog otpada. Općina je Aneksom produžila osnovni ugovor jer nisu doneseni pravilnici uz Zakon o koncesijama, a Aneks vrijedi najviše godinu dana.</w:t>
      </w:r>
    </w:p>
    <w:p w:rsidR="005B62C2" w:rsidRDefault="00A312CF" w:rsidP="00EE72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Prijevoz pokojnika je reguliran novim Zakonom o pogrebnoj djelatnosti, te će se na temelju istog raspisati natječaj za koncesiju </w:t>
      </w:r>
      <w:r w:rsidR="00EE72EC">
        <w:rPr>
          <w:bCs/>
        </w:rPr>
        <w:t xml:space="preserve">za </w:t>
      </w:r>
      <w:r>
        <w:rPr>
          <w:bCs/>
        </w:rPr>
        <w:t xml:space="preserve">prijevoz pokojnika. </w:t>
      </w:r>
    </w:p>
    <w:p w:rsidR="005B62C2" w:rsidRPr="00EE72EC" w:rsidRDefault="00EE72EC" w:rsidP="00EE72EC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5B62C2">
        <w:rPr>
          <w:bCs/>
        </w:rPr>
        <w:t xml:space="preserve">Donošenje Godišnjeg plana koncesija u nadležnosti je predstavničkog tijela kao davatelja koncesije, pa se predlaže da </w:t>
      </w:r>
      <w:r>
        <w:rPr>
          <w:bCs/>
        </w:rPr>
        <w:t>Općinsko vijeće</w:t>
      </w:r>
      <w:r w:rsidR="005B62C2">
        <w:rPr>
          <w:bCs/>
        </w:rPr>
        <w:t xml:space="preserve"> sukladno članku 11. Zakona o komunalnom gospodarstvu, kao ovlašteno tijelo za dodjelu koncesija, a temeljem članka 56. Zakona o koncesijama, donese Godišnji plan davanja koncesija za 201</w:t>
      </w:r>
      <w:r>
        <w:rPr>
          <w:bCs/>
        </w:rPr>
        <w:t>6</w:t>
      </w:r>
      <w:r w:rsidR="005B62C2">
        <w:rPr>
          <w:bCs/>
        </w:rPr>
        <w:t>. godinu.</w:t>
      </w:r>
    </w:p>
    <w:p w:rsidR="005B62C2" w:rsidRDefault="005B62C2" w:rsidP="00CE1489">
      <w:pPr>
        <w:ind w:right="3770"/>
      </w:pPr>
    </w:p>
    <w:p w:rsidR="007A2977" w:rsidRDefault="007A2977" w:rsidP="00CE1489">
      <w:pPr>
        <w:ind w:right="3770"/>
      </w:pPr>
    </w:p>
    <w:sectPr w:rsidR="007A2977" w:rsidSect="008F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3A3"/>
    <w:multiLevelType w:val="hybridMultilevel"/>
    <w:tmpl w:val="3E5474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6E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DBEBE8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1B3B"/>
    <w:multiLevelType w:val="hybridMultilevel"/>
    <w:tmpl w:val="CD5E1C1A"/>
    <w:lvl w:ilvl="0" w:tplc="DE503FA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8D4"/>
    <w:multiLevelType w:val="hybridMultilevel"/>
    <w:tmpl w:val="75C805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E470D"/>
    <w:multiLevelType w:val="hybridMultilevel"/>
    <w:tmpl w:val="100AC6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443B"/>
    <w:multiLevelType w:val="hybridMultilevel"/>
    <w:tmpl w:val="96F4B1CA"/>
    <w:lvl w:ilvl="0" w:tplc="B1F829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305FF"/>
    <w:multiLevelType w:val="hybridMultilevel"/>
    <w:tmpl w:val="ED72B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F3D00"/>
    <w:multiLevelType w:val="hybridMultilevel"/>
    <w:tmpl w:val="CEA2C7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304A7"/>
    <w:multiLevelType w:val="hybridMultilevel"/>
    <w:tmpl w:val="47F632D8"/>
    <w:lvl w:ilvl="0" w:tplc="650019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83089F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DBD2AC1"/>
    <w:multiLevelType w:val="hybridMultilevel"/>
    <w:tmpl w:val="31445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E6474"/>
    <w:multiLevelType w:val="hybridMultilevel"/>
    <w:tmpl w:val="84A4EAEE"/>
    <w:lvl w:ilvl="0" w:tplc="19D213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4E22"/>
    <w:multiLevelType w:val="hybridMultilevel"/>
    <w:tmpl w:val="39D050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D"/>
    <w:rsid w:val="0006047C"/>
    <w:rsid w:val="000806F4"/>
    <w:rsid w:val="00097882"/>
    <w:rsid w:val="000A65A4"/>
    <w:rsid w:val="000C0C39"/>
    <w:rsid w:val="001210A7"/>
    <w:rsid w:val="0013674C"/>
    <w:rsid w:val="0015398F"/>
    <w:rsid w:val="00165B6F"/>
    <w:rsid w:val="001A17F5"/>
    <w:rsid w:val="001A2A71"/>
    <w:rsid w:val="00227AFE"/>
    <w:rsid w:val="00233BB8"/>
    <w:rsid w:val="00253760"/>
    <w:rsid w:val="002C4F7B"/>
    <w:rsid w:val="002D1833"/>
    <w:rsid w:val="00316FF3"/>
    <w:rsid w:val="00332656"/>
    <w:rsid w:val="0034052B"/>
    <w:rsid w:val="00341576"/>
    <w:rsid w:val="00351D8B"/>
    <w:rsid w:val="00352313"/>
    <w:rsid w:val="00364F63"/>
    <w:rsid w:val="00405E0D"/>
    <w:rsid w:val="0041388C"/>
    <w:rsid w:val="00445F7D"/>
    <w:rsid w:val="00451CC1"/>
    <w:rsid w:val="00463FBC"/>
    <w:rsid w:val="004870B4"/>
    <w:rsid w:val="00493D96"/>
    <w:rsid w:val="004A30BE"/>
    <w:rsid w:val="004D3FC8"/>
    <w:rsid w:val="004F134E"/>
    <w:rsid w:val="004F6602"/>
    <w:rsid w:val="00520D77"/>
    <w:rsid w:val="00521049"/>
    <w:rsid w:val="0059070C"/>
    <w:rsid w:val="005A2086"/>
    <w:rsid w:val="005B62C2"/>
    <w:rsid w:val="0061501E"/>
    <w:rsid w:val="00615BD9"/>
    <w:rsid w:val="00625020"/>
    <w:rsid w:val="00643856"/>
    <w:rsid w:val="00672988"/>
    <w:rsid w:val="0067697A"/>
    <w:rsid w:val="006B5E72"/>
    <w:rsid w:val="006C302D"/>
    <w:rsid w:val="006D56F4"/>
    <w:rsid w:val="006E18AD"/>
    <w:rsid w:val="006F7D1B"/>
    <w:rsid w:val="0073148B"/>
    <w:rsid w:val="00747E89"/>
    <w:rsid w:val="00772249"/>
    <w:rsid w:val="0079288B"/>
    <w:rsid w:val="00794A1F"/>
    <w:rsid w:val="007A2977"/>
    <w:rsid w:val="007D73EA"/>
    <w:rsid w:val="007E1F5C"/>
    <w:rsid w:val="007F0CC5"/>
    <w:rsid w:val="007F0D7F"/>
    <w:rsid w:val="007F2C74"/>
    <w:rsid w:val="00814062"/>
    <w:rsid w:val="008227C9"/>
    <w:rsid w:val="00826897"/>
    <w:rsid w:val="0088516F"/>
    <w:rsid w:val="00885A74"/>
    <w:rsid w:val="008A15F1"/>
    <w:rsid w:val="008A541E"/>
    <w:rsid w:val="008D2D0B"/>
    <w:rsid w:val="008E5802"/>
    <w:rsid w:val="008F306E"/>
    <w:rsid w:val="009308AE"/>
    <w:rsid w:val="009738AC"/>
    <w:rsid w:val="009A434C"/>
    <w:rsid w:val="009C398D"/>
    <w:rsid w:val="009D150C"/>
    <w:rsid w:val="00A14E65"/>
    <w:rsid w:val="00A25A61"/>
    <w:rsid w:val="00A312CF"/>
    <w:rsid w:val="00A45C9F"/>
    <w:rsid w:val="00A63EFF"/>
    <w:rsid w:val="00A71F77"/>
    <w:rsid w:val="00AA4544"/>
    <w:rsid w:val="00AA7222"/>
    <w:rsid w:val="00AD1014"/>
    <w:rsid w:val="00AD31BB"/>
    <w:rsid w:val="00B4692B"/>
    <w:rsid w:val="00B97C59"/>
    <w:rsid w:val="00BD6DF0"/>
    <w:rsid w:val="00C814D8"/>
    <w:rsid w:val="00CB176B"/>
    <w:rsid w:val="00CE1489"/>
    <w:rsid w:val="00CF33D9"/>
    <w:rsid w:val="00CF584F"/>
    <w:rsid w:val="00D63084"/>
    <w:rsid w:val="00D6677D"/>
    <w:rsid w:val="00D72D3B"/>
    <w:rsid w:val="00DA7C5D"/>
    <w:rsid w:val="00DB3902"/>
    <w:rsid w:val="00DD7802"/>
    <w:rsid w:val="00DE19D3"/>
    <w:rsid w:val="00DF07C0"/>
    <w:rsid w:val="00DF1C3E"/>
    <w:rsid w:val="00E474B7"/>
    <w:rsid w:val="00E5172D"/>
    <w:rsid w:val="00E85AFA"/>
    <w:rsid w:val="00EC3C8B"/>
    <w:rsid w:val="00EE3B1B"/>
    <w:rsid w:val="00EE72EC"/>
    <w:rsid w:val="00F051F9"/>
    <w:rsid w:val="00F1219B"/>
    <w:rsid w:val="00F26172"/>
    <w:rsid w:val="00F43593"/>
    <w:rsid w:val="00F446B0"/>
    <w:rsid w:val="00F50E97"/>
    <w:rsid w:val="00F55434"/>
    <w:rsid w:val="00F70C64"/>
    <w:rsid w:val="00F83D07"/>
    <w:rsid w:val="00F91C1A"/>
    <w:rsid w:val="00FA7240"/>
    <w:rsid w:val="00FF040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E9B53-9C6E-4CA5-A351-DD9CB40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6F"/>
    <w:rPr>
      <w:sz w:val="24"/>
      <w:szCs w:val="24"/>
    </w:rPr>
  </w:style>
  <w:style w:type="paragraph" w:styleId="Naslov3">
    <w:name w:val="heading 3"/>
    <w:basedOn w:val="Normal"/>
    <w:next w:val="Normal"/>
    <w:qFormat/>
    <w:rsid w:val="00615BD9"/>
    <w:pPr>
      <w:keepNext/>
      <w:ind w:right="3770"/>
      <w:jc w:val="center"/>
      <w:outlineLvl w:val="2"/>
    </w:pPr>
    <w:rPr>
      <w:b/>
      <w:szCs w:val="20"/>
      <w:lang w:val="en-US"/>
    </w:rPr>
  </w:style>
  <w:style w:type="paragraph" w:styleId="Naslov4">
    <w:name w:val="heading 4"/>
    <w:basedOn w:val="Normal"/>
    <w:next w:val="Normal"/>
    <w:qFormat/>
    <w:rsid w:val="00615BD9"/>
    <w:pPr>
      <w:keepNext/>
      <w:outlineLvl w:val="3"/>
    </w:pPr>
    <w:rPr>
      <w:b/>
      <w:szCs w:val="20"/>
      <w:lang w:val="en-US"/>
    </w:rPr>
  </w:style>
  <w:style w:type="paragraph" w:styleId="Naslov5">
    <w:name w:val="heading 5"/>
    <w:basedOn w:val="Normal"/>
    <w:next w:val="Normal"/>
    <w:qFormat/>
    <w:rsid w:val="00615BD9"/>
    <w:pPr>
      <w:keepNext/>
      <w:outlineLvl w:val="4"/>
    </w:pPr>
    <w:rPr>
      <w:szCs w:val="20"/>
      <w:lang w:val="en-US"/>
    </w:rPr>
  </w:style>
  <w:style w:type="paragraph" w:styleId="Naslov6">
    <w:name w:val="heading 6"/>
    <w:basedOn w:val="Normal"/>
    <w:next w:val="Normal"/>
    <w:qFormat/>
    <w:rsid w:val="00615BD9"/>
    <w:pPr>
      <w:keepNext/>
      <w:outlineLvl w:val="5"/>
    </w:pPr>
    <w:rPr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"/>
    <w:basedOn w:val="Normal"/>
    <w:rsid w:val="00615BD9"/>
    <w:pPr>
      <w:jc w:val="both"/>
    </w:pPr>
    <w:rPr>
      <w:szCs w:val="20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E474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4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Split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mtopic</dc:creator>
  <cp:lastModifiedBy>Općina Garčin</cp:lastModifiedBy>
  <cp:revision>6</cp:revision>
  <cp:lastPrinted>2014-04-23T10:55:00Z</cp:lastPrinted>
  <dcterms:created xsi:type="dcterms:W3CDTF">2015-12-09T12:33:00Z</dcterms:created>
  <dcterms:modified xsi:type="dcterms:W3CDTF">2015-12-29T11:02:00Z</dcterms:modified>
</cp:coreProperties>
</file>